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7B" w:rsidRPr="00DE400F" w:rsidRDefault="002C7F7B" w:rsidP="002C7F7B">
      <w:pPr>
        <w:pStyle w:val="Ttulo1"/>
        <w:spacing w:after="120"/>
        <w:jc w:val="both"/>
        <w:rPr>
          <w:rFonts w:ascii="Calibri" w:hAnsi="Calibri"/>
        </w:rPr>
      </w:pPr>
      <w:bookmarkStart w:id="0" w:name="_Toc25164166"/>
      <w:r w:rsidRPr="00DE400F">
        <w:rPr>
          <w:rFonts w:ascii="Calibri" w:hAnsi="Calibri"/>
        </w:rPr>
        <w:t xml:space="preserve">Declaração de Apetite a Risco: Processo: 12.1. Gestão de Aquisições, Licitações e </w:t>
      </w:r>
      <w:proofErr w:type="gramStart"/>
      <w:r w:rsidRPr="00DE400F">
        <w:rPr>
          <w:rFonts w:ascii="Calibri" w:hAnsi="Calibri"/>
        </w:rPr>
        <w:t>Contratos</w:t>
      </w:r>
      <w:bookmarkEnd w:id="0"/>
      <w:proofErr w:type="gramEnd"/>
    </w:p>
    <w:p w:rsidR="002C7F7B" w:rsidRPr="00DE400F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Após a aplicação do Modelo de Gestão de Riscos estabelecido pela Resolução Nº 17/2017, conforme as disposições do “Manual do Processo de Gestão de Riscos da Justiça Eleitoral do Rio Grande do Norte”, nos quatorze atores do “Processo: 12.1. Gestão de Aquisições, Licitações e Contratos”, restaram </w:t>
      </w:r>
      <w:proofErr w:type="gramStart"/>
      <w:r w:rsidRPr="00DE400F">
        <w:rPr>
          <w:sz w:val="24"/>
          <w:szCs w:val="24"/>
        </w:rPr>
        <w:t>identificados, avaliados e tratados 49 (quarenta e nove)</w:t>
      </w:r>
      <w:proofErr w:type="gramEnd"/>
      <w:r w:rsidRPr="00DE400F">
        <w:rPr>
          <w:sz w:val="24"/>
          <w:szCs w:val="24"/>
        </w:rPr>
        <w:t xml:space="preserve"> riscos, vinculados às 56 (cinquenta e seis) atividades do referido processo. Todos os riscos identificados foram classificados como Operacionais e/ou de Aquisições, a exceção de um que também recebeu a classe de risco de Orçamento.</w:t>
      </w:r>
    </w:p>
    <w:p w:rsidR="002C7F7B" w:rsidRPr="00DE400F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>A tabela a seguir apresenta os quantitativos já indicados e explicita o “Nível de Risco Residual” das atividades analisadas, segundo a avaliação realizada pelos responsáveis pelas unidades que atuam no processo de contratações.</w:t>
      </w:r>
    </w:p>
    <w:p w:rsidR="002C7F7B" w:rsidRPr="00DE400F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>Convém esclarecer, que os atores “Unidade Demandante” e “Equipe de Planejamento” tiveram sua avaliação realizada pela Secretaria de Administração, Orçamento e Finanças – SAOF, uma vez que esta unidade é a responsável pelo “Processo: 12.1. Gestão de Aquisições, Licitações e Contratos”, bem como propôs o modelo de contratação com estes atores (Demandante e Equipe de Planejamento) e a documentação orientadora.</w:t>
      </w:r>
    </w:p>
    <w:p w:rsidR="002C7F7B" w:rsidRPr="00DE400F" w:rsidRDefault="002C7F7B" w:rsidP="002C7F7B">
      <w:pPr>
        <w:spacing w:after="0" w:line="240" w:lineRule="auto"/>
        <w:ind w:firstLine="1701"/>
        <w:jc w:val="both"/>
        <w:rPr>
          <w:sz w:val="24"/>
          <w:szCs w:val="24"/>
        </w:rPr>
      </w:pPr>
    </w:p>
    <w:p w:rsidR="002C7F7B" w:rsidRPr="00DE400F" w:rsidRDefault="002C7F7B" w:rsidP="002C7F7B">
      <w:pPr>
        <w:spacing w:after="120" w:line="240" w:lineRule="auto"/>
        <w:jc w:val="both"/>
      </w:pPr>
      <w:r w:rsidRPr="00DE400F">
        <w:t>Tabela – Quantidades de Atividades, Riscos e o Nível de Risco Residual (Média</w:t>
      </w:r>
      <w:proofErr w:type="gramStart"/>
      <w:r w:rsidRPr="00DE400F">
        <w:t>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2107"/>
        <w:gridCol w:w="2143"/>
        <w:gridCol w:w="2357"/>
      </w:tblGrid>
      <w:tr w:rsidR="002C7F7B" w:rsidRPr="00DE400F" w:rsidTr="0011411D">
        <w:trPr>
          <w:trHeight w:val="656"/>
        </w:trPr>
        <w:tc>
          <w:tcPr>
            <w:tcW w:w="3813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Ator</w:t>
            </w:r>
            <w:r w:rsidR="003837E6">
              <w:rPr>
                <w:b/>
              </w:rPr>
              <w:t>es</w:t>
            </w:r>
            <w:r w:rsidRPr="00DE400F">
              <w:rPr>
                <w:b/>
              </w:rPr>
              <w:t xml:space="preserve"> do Processo</w:t>
            </w:r>
          </w:p>
        </w:tc>
        <w:tc>
          <w:tcPr>
            <w:tcW w:w="2107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Quantidade de Atividades</w:t>
            </w:r>
          </w:p>
        </w:tc>
        <w:tc>
          <w:tcPr>
            <w:tcW w:w="2143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Quantidade de Riscos Identificados</w:t>
            </w:r>
          </w:p>
        </w:tc>
        <w:tc>
          <w:tcPr>
            <w:tcW w:w="2357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Nível de Risco Residual das Atividades (Média)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1. Unidade Demandante / SAOF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3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8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2. Equipe de Planejamento / SAOF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357" w:type="dxa"/>
            <w:shd w:val="clear" w:color="auto" w:fill="FFFF00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r w:rsidRPr="00DE400F">
              <w:t>16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 xml:space="preserve">3. Gabinete e Apoio a Planejamento e Gestão da Secretaria de Administração, Orçamento e Finanças – GAPSAOF / Secretaria de Administração e Orçamento – </w:t>
            </w:r>
            <w:proofErr w:type="gramStart"/>
            <w:r w:rsidRPr="00DE400F">
              <w:t>SAOF</w:t>
            </w:r>
            <w:proofErr w:type="gramEnd"/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r w:rsidRPr="00DE400F">
              <w:t>6,9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4. Seção de Análise Técnica de Contratações – SETEC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8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r w:rsidRPr="00DE400F">
              <w:t>5,7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5. Seção de Planejamento Orçamentário e Financeiro – SEPOF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3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6. Seção de Licitações e Contratos – SELIC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r w:rsidRPr="00DE400F">
              <w:t>7,4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7. Assessoria Jurídica da Diretoria-Geral – AJDG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9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 xml:space="preserve">8. </w:t>
            </w:r>
            <w:proofErr w:type="spellStart"/>
            <w:r w:rsidRPr="00DE400F">
              <w:t>Gabininete</w:t>
            </w:r>
            <w:proofErr w:type="spellEnd"/>
            <w:r w:rsidRPr="00DE400F">
              <w:t xml:space="preserve"> da Diretoria-Geral – GABDG / Diretoria-Geral – DG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9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7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9. Núcleo de Licitações – NL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3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5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10. Assessoria Jurídico-Administrativa da Presidência – APRES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3</w:t>
            </w:r>
            <w:proofErr w:type="gramEnd"/>
          </w:p>
        </w:tc>
        <w:tc>
          <w:tcPr>
            <w:tcW w:w="2357" w:type="dxa"/>
            <w:shd w:val="clear" w:color="auto" w:fill="FFFF00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r w:rsidRPr="00DE400F">
              <w:t>12</w:t>
            </w:r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11. Gabinete da Presidência – GABPRES / Presidência – PRES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8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12. Seção de Execução Orçamentária e Financeira – SEOF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8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t>13. Seção de Contabilidade Analítica e Gerencial – SECON</w:t>
            </w:r>
          </w:p>
        </w:tc>
        <w:tc>
          <w:tcPr>
            <w:tcW w:w="2107" w:type="dxa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14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357" w:type="dxa"/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</w:tr>
      <w:tr w:rsidR="002C7F7B" w:rsidRPr="00DE400F" w:rsidTr="0011411D">
        <w:tc>
          <w:tcPr>
            <w:tcW w:w="38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</w:pPr>
            <w:r w:rsidRPr="00DE400F">
              <w:lastRenderedPageBreak/>
              <w:t>14. Coordenadoria de Orçamento e Finanças – COFIN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1</w:t>
            </w:r>
            <w:proofErr w:type="gramEnd"/>
          </w:p>
        </w:tc>
        <w:tc>
          <w:tcPr>
            <w:tcW w:w="21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2</w:t>
            </w:r>
            <w:proofErr w:type="gramEnd"/>
          </w:p>
        </w:tc>
        <w:tc>
          <w:tcPr>
            <w:tcW w:w="2357" w:type="dxa"/>
            <w:tcBorders>
              <w:bottom w:val="single" w:sz="4" w:space="0" w:color="auto"/>
            </w:tcBorders>
            <w:shd w:val="clear" w:color="auto" w:fill="C2D69B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</w:pPr>
            <w:proofErr w:type="gramStart"/>
            <w:r w:rsidRPr="00DE400F">
              <w:t>4</w:t>
            </w:r>
            <w:proofErr w:type="gramEnd"/>
          </w:p>
        </w:tc>
      </w:tr>
      <w:tr w:rsidR="002C7F7B" w:rsidRPr="00DE400F" w:rsidTr="0011411D">
        <w:trPr>
          <w:trHeight w:val="507"/>
        </w:trPr>
        <w:tc>
          <w:tcPr>
            <w:tcW w:w="3813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Total Geral / Média Geral</w:t>
            </w:r>
          </w:p>
        </w:tc>
        <w:tc>
          <w:tcPr>
            <w:tcW w:w="2107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56</w:t>
            </w:r>
          </w:p>
        </w:tc>
        <w:tc>
          <w:tcPr>
            <w:tcW w:w="2143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49</w:t>
            </w:r>
          </w:p>
        </w:tc>
        <w:tc>
          <w:tcPr>
            <w:tcW w:w="2357" w:type="dxa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</w:rPr>
            </w:pPr>
            <w:r w:rsidRPr="00DE400F">
              <w:rPr>
                <w:b/>
              </w:rPr>
              <w:t>7,4</w:t>
            </w:r>
          </w:p>
        </w:tc>
      </w:tr>
    </w:tbl>
    <w:p w:rsidR="002C7F7B" w:rsidRPr="00DE400F" w:rsidRDefault="002C7F7B" w:rsidP="002C7F7B">
      <w:r w:rsidRPr="00DE400F">
        <w:t>Convenções de cores adotadas: (Verde) nível baixo de riscos e (Amarela) nível médio de riscos.</w:t>
      </w:r>
    </w:p>
    <w:p w:rsidR="00582590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Majoritariamente, o Nível de Risco Residual das atividades do processo restou classificado como </w:t>
      </w:r>
      <w:r w:rsidRPr="00DE400F">
        <w:rPr>
          <w:b/>
          <w:sz w:val="24"/>
          <w:szCs w:val="24"/>
        </w:rPr>
        <w:t>baixo</w:t>
      </w:r>
      <w:r w:rsidRPr="00DE400F">
        <w:rPr>
          <w:sz w:val="24"/>
          <w:szCs w:val="24"/>
        </w:rPr>
        <w:t xml:space="preserve">, excetuando-se duas atividades da </w:t>
      </w:r>
      <w:r w:rsidRPr="00DE400F">
        <w:rPr>
          <w:i/>
          <w:sz w:val="24"/>
          <w:szCs w:val="24"/>
        </w:rPr>
        <w:t>Equipe de Planejamento</w:t>
      </w:r>
      <w:r w:rsidRPr="00DE400F">
        <w:rPr>
          <w:sz w:val="24"/>
          <w:szCs w:val="24"/>
        </w:rPr>
        <w:t xml:space="preserve"> e duas atividades da </w:t>
      </w:r>
      <w:r w:rsidRPr="00DE400F">
        <w:rPr>
          <w:i/>
          <w:sz w:val="24"/>
          <w:szCs w:val="24"/>
        </w:rPr>
        <w:t>Assessoria Jurídico-Administrativa da Presidência – APRES</w:t>
      </w:r>
      <w:r w:rsidRPr="00DE400F">
        <w:rPr>
          <w:sz w:val="24"/>
          <w:szCs w:val="24"/>
        </w:rPr>
        <w:t>, conforme tabela anterior. Em termos da média das atividades verificou-se um resultado de 7,4 pontos</w:t>
      </w:r>
      <w:r>
        <w:rPr>
          <w:sz w:val="24"/>
          <w:szCs w:val="24"/>
        </w:rPr>
        <w:t xml:space="preserve"> para o nível de risco residual médio</w:t>
      </w:r>
      <w:r w:rsidR="00582590">
        <w:rPr>
          <w:sz w:val="24"/>
          <w:szCs w:val="24"/>
        </w:rPr>
        <w:t>.</w:t>
      </w:r>
    </w:p>
    <w:p w:rsidR="002C7F7B" w:rsidRPr="00DE400F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No caso da </w:t>
      </w:r>
      <w:r w:rsidRPr="00DE400F">
        <w:rPr>
          <w:i/>
          <w:sz w:val="24"/>
          <w:szCs w:val="24"/>
        </w:rPr>
        <w:t>Equipe de Planejamento</w:t>
      </w:r>
      <w:r w:rsidRPr="00DE400F">
        <w:rPr>
          <w:sz w:val="24"/>
          <w:szCs w:val="24"/>
        </w:rPr>
        <w:t>, o nível de risco médio (16) resultou de um impacto residual baixo (4) e de uma probabilidade residual também baixa (4) para as duas atividades analisadas. Ressalte-se que estas duas atividades versam sobre a elaboração de Estudos Preliminares, do Mapa de Riscos e do Termo de Referência ou Projeto Básico, ou seja, operações críticas deste processo, ambas ainda na fase interna da licitação.</w:t>
      </w:r>
    </w:p>
    <w:p w:rsidR="002C7F7B" w:rsidRDefault="002C7F7B" w:rsidP="002C7F7B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Já nas atividades da </w:t>
      </w:r>
      <w:r w:rsidRPr="00DE400F">
        <w:rPr>
          <w:i/>
          <w:sz w:val="24"/>
          <w:szCs w:val="24"/>
        </w:rPr>
        <w:t>Assessoria Jurídico-Administrativa da Presidência – APRES,</w:t>
      </w:r>
      <w:r w:rsidRPr="00DE400F">
        <w:rPr>
          <w:sz w:val="24"/>
          <w:szCs w:val="24"/>
        </w:rPr>
        <w:t xml:space="preserve"> ambas com uma probabilidade residual muito baixa (2) e um impacto residual médio (6), perfazendo um risco residual de nível médio (12). Neste caso, as atividades estão relacionadas à emissão de pareceres sobre dispensas e inexigibilidades de licitações que alcançam à Presidência, sendo a APRES o último filtro antes da decisão.</w:t>
      </w:r>
    </w:p>
    <w:p w:rsidR="00582590" w:rsidRDefault="002C7F7B" w:rsidP="00582590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Ante o exposto e tendo em vista especialmente o item 11 do </w:t>
      </w:r>
      <w:r w:rsidRPr="00DE400F">
        <w:rPr>
          <w:i/>
          <w:sz w:val="24"/>
          <w:szCs w:val="24"/>
        </w:rPr>
        <w:t>Manual do Processo de Gestão de Riscos</w:t>
      </w:r>
      <w:r w:rsidRPr="00DE400F">
        <w:rPr>
          <w:sz w:val="24"/>
          <w:szCs w:val="24"/>
        </w:rPr>
        <w:t xml:space="preserve"> sobre o Apetite a Risco, o Tribunal deve fixar o nível de risco considerado institucionalmente razoável para a execução de suas co</w:t>
      </w:r>
      <w:r w:rsidR="00582590">
        <w:rPr>
          <w:sz w:val="24"/>
          <w:szCs w:val="24"/>
        </w:rPr>
        <w:t xml:space="preserve">mpetências e atribuições legais, que foi realizado através da </w:t>
      </w:r>
      <w:r w:rsidR="00582590">
        <w:rPr>
          <w:sz w:val="24"/>
          <w:szCs w:val="24"/>
        </w:rPr>
        <w:t>Portaria Nº 95/2021-GP</w:t>
      </w:r>
      <w:r w:rsidR="00582590">
        <w:rPr>
          <w:sz w:val="24"/>
          <w:szCs w:val="24"/>
        </w:rPr>
        <w:t xml:space="preserve">, estabelecendo o apetite a risco no nível baixo para a classe de risco OPERACIONAL, como expressão da média dos riscos residuais das atividades componentes do processo de trabalho. No presente caso, a média dos riscos residuais alcançou </w:t>
      </w:r>
      <w:r w:rsidRPr="00DE400F">
        <w:rPr>
          <w:sz w:val="24"/>
          <w:szCs w:val="24"/>
        </w:rPr>
        <w:t>7,4 ponto</w:t>
      </w:r>
      <w:r w:rsidR="003837E6">
        <w:rPr>
          <w:sz w:val="24"/>
          <w:szCs w:val="24"/>
        </w:rPr>
        <w:t>s, portanto, no nível baixo</w:t>
      </w:r>
      <w:r w:rsidR="00582590">
        <w:rPr>
          <w:sz w:val="24"/>
          <w:szCs w:val="24"/>
        </w:rPr>
        <w:t>, estando de acordo com a referida portaria.</w:t>
      </w:r>
    </w:p>
    <w:p w:rsidR="00582590" w:rsidRPr="00DE400F" w:rsidRDefault="00582590" w:rsidP="00582590">
      <w:pPr>
        <w:spacing w:after="120" w:line="240" w:lineRule="auto"/>
        <w:ind w:firstLine="1701"/>
        <w:jc w:val="both"/>
        <w:rPr>
          <w:sz w:val="24"/>
          <w:szCs w:val="24"/>
        </w:rPr>
      </w:pPr>
      <w:r w:rsidRPr="00DE400F">
        <w:rPr>
          <w:sz w:val="24"/>
          <w:szCs w:val="24"/>
        </w:rPr>
        <w:t xml:space="preserve">Assim, </w:t>
      </w:r>
      <w:r>
        <w:rPr>
          <w:sz w:val="24"/>
          <w:szCs w:val="24"/>
        </w:rPr>
        <w:t>fixado</w:t>
      </w:r>
      <w:r w:rsidRPr="00DE400F">
        <w:rPr>
          <w:sz w:val="24"/>
          <w:szCs w:val="24"/>
        </w:rPr>
        <w:t xml:space="preserve"> o nível de Apetite a Risco que orienta a execução das atividades e a </w:t>
      </w:r>
      <w:r w:rsidR="006645F3">
        <w:rPr>
          <w:sz w:val="24"/>
          <w:szCs w:val="24"/>
        </w:rPr>
        <w:t>análise</w:t>
      </w:r>
      <w:r w:rsidRPr="00DE400F">
        <w:rPr>
          <w:sz w:val="24"/>
          <w:szCs w:val="24"/>
        </w:rPr>
        <w:t xml:space="preserve"> de riscos declarad</w:t>
      </w:r>
      <w:r w:rsidR="006645F3">
        <w:rPr>
          <w:sz w:val="24"/>
          <w:szCs w:val="24"/>
        </w:rPr>
        <w:t>a</w:t>
      </w:r>
      <w:r w:rsidRPr="00DE400F">
        <w:rPr>
          <w:sz w:val="24"/>
          <w:szCs w:val="24"/>
        </w:rPr>
        <w:t xml:space="preserve"> pelos responsáveis, </w:t>
      </w:r>
      <w:r w:rsidR="006645F3">
        <w:rPr>
          <w:sz w:val="24"/>
          <w:szCs w:val="24"/>
        </w:rPr>
        <w:t>visando</w:t>
      </w:r>
      <w:r w:rsidRPr="00DE400F">
        <w:rPr>
          <w:sz w:val="24"/>
          <w:szCs w:val="24"/>
        </w:rPr>
        <w:t xml:space="preserve"> o alcance dos resultados</w:t>
      </w:r>
      <w:r>
        <w:rPr>
          <w:sz w:val="24"/>
          <w:szCs w:val="24"/>
        </w:rPr>
        <w:t xml:space="preserve"> ou objetivos </w:t>
      </w:r>
      <w:r w:rsidR="006645F3">
        <w:rPr>
          <w:sz w:val="24"/>
          <w:szCs w:val="24"/>
        </w:rPr>
        <w:t>planejados, alcançou os parâmetros estabelecidos por este Tribunal Regional Eleitoral do Rio Grande do Norte.</w:t>
      </w:r>
      <w:bookmarkStart w:id="1" w:name="_GoBack"/>
      <w:bookmarkEnd w:id="1"/>
    </w:p>
    <w:p w:rsidR="002C7F7B" w:rsidRPr="00DE400F" w:rsidRDefault="002C7F7B" w:rsidP="002C7F7B">
      <w:pPr>
        <w:spacing w:after="0" w:line="240" w:lineRule="auto"/>
        <w:ind w:firstLine="1701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33"/>
      </w:tblGrid>
      <w:tr w:rsidR="002C7F7B" w:rsidRPr="00DE400F" w:rsidTr="0011411D">
        <w:trPr>
          <w:trHeight w:val="623"/>
        </w:trPr>
        <w:tc>
          <w:tcPr>
            <w:tcW w:w="10344" w:type="dxa"/>
            <w:gridSpan w:val="2"/>
            <w:shd w:val="pct12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E400F">
              <w:rPr>
                <w:b/>
                <w:sz w:val="28"/>
                <w:szCs w:val="28"/>
              </w:rPr>
              <w:t>Apetite a Risco</w:t>
            </w:r>
          </w:p>
        </w:tc>
      </w:tr>
      <w:tr w:rsidR="002C7F7B" w:rsidRPr="00DE400F" w:rsidTr="0011411D">
        <w:tc>
          <w:tcPr>
            <w:tcW w:w="5211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0F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5133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E400F">
              <w:rPr>
                <w:b/>
                <w:sz w:val="24"/>
                <w:szCs w:val="24"/>
              </w:rPr>
              <w:t>Nível de Risco</w:t>
            </w:r>
          </w:p>
        </w:tc>
      </w:tr>
      <w:tr w:rsidR="002C7F7B" w:rsidRPr="00DE400F" w:rsidTr="0011411D">
        <w:trPr>
          <w:trHeight w:val="551"/>
        </w:trPr>
        <w:tc>
          <w:tcPr>
            <w:tcW w:w="5211" w:type="dxa"/>
            <w:shd w:val="clear" w:color="auto" w:fill="auto"/>
            <w:vAlign w:val="center"/>
          </w:tcPr>
          <w:p w:rsidR="002C7F7B" w:rsidRPr="00DE400F" w:rsidRDefault="002C7F7B" w:rsidP="0011411D">
            <w:pPr>
              <w:spacing w:after="0" w:line="240" w:lineRule="auto"/>
              <w:rPr>
                <w:sz w:val="24"/>
                <w:szCs w:val="24"/>
              </w:rPr>
            </w:pPr>
            <w:r w:rsidRPr="00DE400F">
              <w:rPr>
                <w:sz w:val="24"/>
                <w:szCs w:val="24"/>
              </w:rPr>
              <w:t xml:space="preserve">12.1. Gestão de Aquisições, Licitações e </w:t>
            </w:r>
            <w:proofErr w:type="gramStart"/>
            <w:r w:rsidRPr="00DE400F">
              <w:rPr>
                <w:sz w:val="24"/>
                <w:szCs w:val="24"/>
              </w:rPr>
              <w:t>Contratos</w:t>
            </w:r>
            <w:proofErr w:type="gramEnd"/>
          </w:p>
        </w:tc>
        <w:tc>
          <w:tcPr>
            <w:tcW w:w="5133" w:type="dxa"/>
            <w:shd w:val="clear" w:color="auto" w:fill="auto"/>
            <w:vAlign w:val="center"/>
          </w:tcPr>
          <w:p w:rsidR="002C7F7B" w:rsidRPr="00DE400F" w:rsidRDefault="002C7F7B" w:rsidP="00582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00F">
              <w:rPr>
                <w:sz w:val="24"/>
                <w:szCs w:val="24"/>
              </w:rPr>
              <w:t>Baixo (</w:t>
            </w:r>
            <w:r w:rsidR="00582590">
              <w:rPr>
                <w:sz w:val="24"/>
                <w:szCs w:val="24"/>
              </w:rPr>
              <w:t>7,4</w:t>
            </w:r>
            <w:r w:rsidRPr="00DE400F">
              <w:rPr>
                <w:sz w:val="24"/>
                <w:szCs w:val="24"/>
              </w:rPr>
              <w:t xml:space="preserve"> pontos)</w:t>
            </w:r>
          </w:p>
        </w:tc>
      </w:tr>
      <w:tr w:rsidR="002C7F7B" w:rsidRPr="00DE400F" w:rsidTr="0011411D">
        <w:trPr>
          <w:trHeight w:val="559"/>
        </w:trPr>
        <w:tc>
          <w:tcPr>
            <w:tcW w:w="10344" w:type="dxa"/>
            <w:gridSpan w:val="2"/>
            <w:shd w:val="clear" w:color="auto" w:fill="auto"/>
            <w:vAlign w:val="center"/>
          </w:tcPr>
          <w:p w:rsidR="002C7F7B" w:rsidRPr="00DE400F" w:rsidRDefault="002C7F7B" w:rsidP="005825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00F">
              <w:rPr>
                <w:sz w:val="24"/>
                <w:szCs w:val="24"/>
              </w:rPr>
              <w:t xml:space="preserve">Aprovação: </w:t>
            </w:r>
            <w:r>
              <w:rPr>
                <w:sz w:val="24"/>
                <w:szCs w:val="24"/>
              </w:rPr>
              <w:t xml:space="preserve">Comitê de Gestão de Riscos, em </w:t>
            </w:r>
            <w:proofErr w:type="spellStart"/>
            <w:r w:rsidR="00582590">
              <w:rPr>
                <w:sz w:val="24"/>
                <w:szCs w:val="24"/>
              </w:rPr>
              <w:t>xx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 w:rsidR="00582590">
              <w:rPr>
                <w:sz w:val="24"/>
                <w:szCs w:val="24"/>
              </w:rPr>
              <w:t>xx</w:t>
            </w:r>
            <w:proofErr w:type="spellEnd"/>
            <w:r w:rsidRPr="00DE400F">
              <w:rPr>
                <w:sz w:val="24"/>
                <w:szCs w:val="24"/>
              </w:rPr>
              <w:t>/20</w:t>
            </w:r>
            <w:r w:rsidR="00582590">
              <w:rPr>
                <w:sz w:val="24"/>
                <w:szCs w:val="24"/>
              </w:rPr>
              <w:t>xx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96013E" w:rsidRDefault="0096013E"/>
    <w:sectPr w:rsidR="0096013E" w:rsidSect="002C7F7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7B"/>
    <w:rsid w:val="002C7F7B"/>
    <w:rsid w:val="003837E6"/>
    <w:rsid w:val="00582590"/>
    <w:rsid w:val="006645F3"/>
    <w:rsid w:val="009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7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2C7F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C7F7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7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2C7F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C7F7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Justica Eleitoral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Iaperi Gabor Damasceno Arbocz</dc:creator>
  <cp:lastModifiedBy>Iaperi Gabor Damasceno Arbocz</cp:lastModifiedBy>
  <cp:revision>2</cp:revision>
  <dcterms:created xsi:type="dcterms:W3CDTF">2021-07-30T12:33:00Z</dcterms:created>
  <dcterms:modified xsi:type="dcterms:W3CDTF">2021-07-30T12:57:00Z</dcterms:modified>
</cp:coreProperties>
</file>